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аргументация исследовательской деятельности</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к.хим.н, доцент _________________ /Шелонцев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аргументация исследовательской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«Теория и аргументация исследовательской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аргументация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анализа и  синтеза информации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анализа и синтеза информации, разрабатывать стратегию действий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«Теория и аргументация исследовательской 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Научные теории и школы современной психологии</w:t>
            </w:r>
          </w:p>
          <w:p>
            <w:pPr>
              <w:jc w:val="center"/>
              <w:spacing w:after="0" w:line="240" w:lineRule="auto"/>
              <w:rPr>
                <w:sz w:val="22"/>
                <w:szCs w:val="22"/>
              </w:rPr>
            </w:pPr>
            <w:r>
              <w:rPr>
                <w:rFonts w:ascii="Times New Roman" w:hAnsi="Times New Roman" w:cs="Times New Roman"/>
                <w:color w:val="#000000"/>
                <w:sz w:val="22"/>
                <w:szCs w:val="22"/>
              </w:rPr>
              <w:t> Педагогика и педагогическая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Технология разрешения конфликтов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Некорректные приёмы аргументации и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публичного выступления научного доклада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617.12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и доказательство</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аргументации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аргументации: обоснование и критика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ошибки аргументации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аргументации: обоснование и критика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система, виды и факторы. Переговоры, спор</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Корректные приемы аргументации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Некорректные приёмы аргументации и приемы борьбы с некорректной аргументацией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публичного выступления научного доклада</w:t>
            </w:r>
          </w:p>
        </w:tc>
      </w:tr>
      <w:tr>
        <w:trPr>
          <w:trHeight w:hRule="exact" w:val="285.18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аргументация исследовательской деятельности» / Шелонцев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Тульчинский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https://www.biblio-online.ru/bcode/433310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978-5-7996-0943-6.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http://www.iprbookshop.ru/68254.html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12.3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2024-2025_ФГОС3++2024_Маг-ОЗФО-Психология(ППвОиСФ)(24)_plx_Теория и аргументация исследовательской деятельности</dc:title>
  <dc:creator>FastReport.NET</dc:creator>
</cp:coreProperties>
</file>